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before="0" w:lineRule="auto"/>
        <w:rPr/>
      </w:pPr>
      <w:bookmarkStart w:colFirst="0" w:colLast="0" w:name="_prsvkwrddxo" w:id="0"/>
      <w:bookmarkEnd w:id="0"/>
      <w:r w:rsidDel="00000000" w:rsidR="00000000" w:rsidRPr="00000000">
        <w:rPr>
          <w:rtl w:val="0"/>
        </w:rPr>
        <w:t xml:space="preserve">Ministarstvo prosvete poništilo konkurs za preduniverzitetsko obrazovanje, odluka nije javno objavljena</w:t>
      </w:r>
    </w:p>
    <w:p w:rsidR="00000000" w:rsidDel="00000000" w:rsidP="00000000" w:rsidRDefault="00000000" w:rsidRPr="00000000" w14:paraId="00000002">
      <w:pPr>
        <w:rPr/>
      </w:pPr>
      <w:r w:rsidDel="00000000" w:rsidR="00000000" w:rsidRPr="00000000">
        <w:rPr>
          <w:rtl w:val="0"/>
        </w:rPr>
        <w:t xml:space="preserve">Ministar prosvete doneo je 14. jula odluku o poništavanju Javnog konkursa za dodelu sredstava radi podsticanja programa od javnog interesa značajnih za preduniverzitetsko obrazovanje u 2026. godini. Odluka nije bila javno objavljena, a Unija srednjoškolaca Srbije (UNSS) do nje je došla tek nakon podnošenja zahteva za pristup informacijama od javnog značaja.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Konkurs je raspisan 11. marta 2026. godine, sa ukupnim budžetom od 50 miliona dinara. Na preliminarnoj listi vrednovanja i rangiranja, objavljenoj u maju, za finansiranje je predložen 61 projekat u ukupnom iznosu od 45 miliona dinara. Pet miliona dinara predviđenih konkursom nije bilo raspodeljeno, bez javno dostupnog obrazloženja.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Poništavanjem konkursa nijedan od projekata sa preliminarne liste neće biti finansiran na osnovu sprovedenog postupka. Istovremeno, organizacije koje su konkurisale i šira javnost nisu bile blagovremeno obaveštene o odluci niti o njenim posledicama.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„Neprihvatljivo je da javnost o poništenju javnog konkursa koji je raspisala republička institucija ne bude obaveštena putem njenog zvaničnog sajta, već da se do te informacije dolazi tek podnošenjem zahteva za pristup informacijama od javnog značaja. Bez obzira na to kome su sredstva bila namenjena, transparentnost ne sme da zavisi od upornosti organizacija civilnog društva, već mora biti osnovni princip rada institucija. Proaktivno informisanje i partnerski odnos institucija i civilnog društva neophodni su kako bismo zajednički ostvarivali rezultate koje nijedna strana ne može postići sama“, izjavio je generalni sekretar UNSS-a Aleksandar Nikolić.</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Analiza preliminarnih rezultata koju je sprovela Unija srednjoškolaca Srbije otvorila je dodatna pitanja o načinu usmeravanja sredstava namenjenih preduniverzitetskom obrazovanju. Među 61 projektom predloženim za finansiranje nalazili su se projekti 14 studentskih i univerzitetskih udruženja, kojima je bilo namenjeno ukupno 15,15 miliona dinara - više od trećine svih preliminarno raspodeljenih sredstava.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Prosečan iznos predviđen za studentska i univerzitetska udruženja bio je približno 1,08 miliona dinara, odnosno oko 1,7 puta veći od prosečnog iznosa namenjenog ostalim udruženjima. Među predloženim projektima bilo je i onih čija se neposredna povezanost sa decom, učenicima, školama i preduniverzitetskim obrazovanjem nije mogla utvrditi na osnovu javno dostupnih podataka. Ovakva raspodela posebno je problematična imajući u vidu da je Ministarstvo prosvete 5. maja raspisalo poseban konkurs za studentska udruženja, za koji je izdvojeno dodatnih 40 miliona dinara. Organizacije koje predstavljaju srednjoškolce nemaju uporediv, poseban institucionalni mehanizam finansiranja.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Među projektima čija je povezanost sa preduniverzitetskim obrazovanjem ostala nejasna nalazi se “Fongres 2026 - Preduzetništvo za nove generacije”, za koji je Studentskoj asocijaciji Fakulteta organizacionih nauka bilo predloženo 1,3 miliona dinara. Prema javno dostupnom opisu organizatora, Fongres je kongres koji povezuje studente i kompanije, zbog čega nije jasno kako je Komisija procenila njegov doprinos preduniverzitetskom obrazovanju.</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Iz UNSS-a poručuju da finansiranje studentskih udruženja putem konkursa namenjenog preduniverzitetskom obrazovanju možda nije izričito zabranjeno, ali nije opravdano sa stanovišta svrhe konkursa i legitimnosti takve raspodele. Studentskim udruženjima već je dostupan poseban konkurs Ministarstva prosvete, za koji je ove godine izdvojeno 40 miliona dinara. Ukoliko Ministarstvo smatra da treba podržati njihove aktivnosti namenjene učenicima, za to bi trebalo da obezbedi prostor u okviru konkursa namenjenog studentskim udruženjima ili drugog odgovarajućeg mehanizma, umesto da im dodeljuje nešto više od trećine sredstava opredeljenih za preduniverzitetsko obrazovanje. Takva raspodela direktno sužava prostor za podršku organizacijama koje se godinama ili decenijama primarno bave predškolskim, osnovnim i srednjim obrazovanjem, među kojima je i UNSS.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Analiza je pokazala i da 44 od 61 udruženja sa preliminarne liste nisu imala nijedno zaposleno lice. Njima je bilo namenjeno približno 32,6 miliona dinara. Ovaj podatak sam po sebi ne znači da organizacije ne mogu kvalitetno da sprovedu projekte, ali otvara pitanje načina na koji su procenjivani njihovi administrativni i stručni kapaciteti za odgovorno upravljanje javnim sredstvima.</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Ministarstvo u preliminarnoj listi nije navelo kojoj konkursnoj oblasti pripada svaki od projekata predloženih za finansiranje, niti je objavilo dovoljno informacija na osnovu kojih bi javnost mogla da proceni sadržaj, ciljnu grupu i očekivane rezultate predloženih programa. Za 26 projekata, kojima je bilo namenjeno ukupno 18,55 miliona dinara, njihova oblast nije se mogla pouzdano utvrditi ni na osnovu naziva.</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Analiza je ukazala i na slučaj dva udruženja registrovana istog dana i sa istim, odnosno gotovo identično definisanim ciljevima. Reč je o udruženju “Mladi horizonti - inicijativa za preduzetništvo i inovacije mladih”, kojem je za projekat “Znanje za budućnost” preliminarno predloženo 900.000 dinara, i udruženju “Mreža mladih inovatora”, kojem je za projekat “Kulturni identitet mladih” predloženo 800.000 dinara. Ova podudarnost sama po sebi ne dokazuje nepravilnost, ali zahteva jasno obrazloženje načina na koji je komisija proveravala međusobnu povezanost podnosilaca, njihove kapacitete i samostalnost predloženih programa.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Istovremeno, za program Istraživačke stanice Petnica bilo je predloženo svega 500.000 dinara. Reč je o organizaciji sa dugogodišnjim iskustvom, razvijenim stručnim i infrastrukturnim kapacitetima i programom neposredno namenjenim srednjoškolcima. Velika razlika između ovog iznosa i sredstava predloženih pojedinim novijim ili administrativno slabije razvijenim udruženjima dodatno otvara pitanje kriterijuma koje je Komisija primenjivala.</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Ovo nije prvi put da se konkurs Ministarstva prosvete u ovoj oblasti poništava. Zbog toga je posebno važno da Ministarstvo objasni kako će sprečiti dalje odlaganje podrške programima namenjenim učenicima, nastavnicima i školama i obezbediti da predviđena sredstva budu utrošena namenski, transparentno i u toku budžetske godine.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UNSS poziva Ministarstvo prosvete da bez odlaganja javno objavi odluku o poništenju i njeno potpuno obrazloženje, kao i informaciju o tome da li će konkurs biti ponovljen i na koji način će biti iskorišćeno 50 miliona dinara namenjenih programima u oblasti preduniverzitetskog obrazovanja.</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UNSS će nastaviti da prati postupanje Ministarstva prosvete, koristi zakonske mehanizme za pristup informacijama i obaveštava javnost o raspolaganju sredstvima namenjenim preduniverzitetskom obrazovanju.</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Kontakt za medije:</w:t>
        <w:br w:type="textWrapping"/>
        <w:t xml:space="preserve">Aleksandar Nikolić </w:t>
      </w:r>
    </w:p>
    <w:p w:rsidR="00000000" w:rsidDel="00000000" w:rsidP="00000000" w:rsidRDefault="00000000" w:rsidRPr="00000000" w14:paraId="00000025">
      <w:pPr>
        <w:rPr/>
      </w:pPr>
      <w:r w:rsidDel="00000000" w:rsidR="00000000" w:rsidRPr="00000000">
        <w:rPr>
          <w:rtl w:val="0"/>
        </w:rPr>
        <w:t xml:space="preserve">0603132061</w:t>
      </w:r>
    </w:p>
    <w:p w:rsidR="00000000" w:rsidDel="00000000" w:rsidP="00000000" w:rsidRDefault="00000000" w:rsidRPr="00000000" w14:paraId="00000026">
      <w:pPr>
        <w:rPr/>
      </w:pPr>
      <w:hyperlink r:id="rId6">
        <w:r w:rsidDel="00000000" w:rsidR="00000000" w:rsidRPr="00000000">
          <w:rPr>
            <w:color w:val="1155cc"/>
            <w:u w:val="single"/>
            <w:rtl w:val="0"/>
          </w:rPr>
          <w:t xml:space="preserve">office@unss.org.rs</w:t>
        </w:r>
      </w:hyperlink>
      <w:r w:rsidDel="00000000" w:rsidR="00000000" w:rsidRPr="00000000">
        <w:rPr>
          <w:rtl w:val="0"/>
        </w:rPr>
        <w:t xml:space="preserve"> </w:t>
        <w:br w:type="textWrapping"/>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office@unss.org.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